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0" w:before="3000"/>
        <w:jc w:val="center"/>
      </w:pPr>
      <w:r>
        <w:rPr>
          <w:rFonts w:ascii="Arial" w:cs="Arial" w:eastAsia="Arial" w:hAnsi="Arial"/>
          <w:b/>
          <w:bCs/>
          <w:color w:val="1B3A5C"/>
          <w:sz w:val="52"/>
          <w:szCs w:val="52"/>
        </w:rPr>
        <w:t xml:space="preserve">Italian Visa Pathways Guide</w:t>
      </w:r>
    </w:p>
    <w:p>
      <w:pPr>
        <w:spacing w:after="400"/>
        <w:jc w:val="center"/>
      </w:pPr>
      <w:r>
        <w:rPr>
          <w:rFonts w:ascii="Arial" w:cs="Arial" w:eastAsia="Arial" w:hAnsi="Arial"/>
          <w:color w:val="666666"/>
          <w:sz w:val="28"/>
          <w:szCs w:val="28"/>
        </w:rPr>
        <w:t xml:space="preserve">GEO Expedition Italy Relocation Program</w:t>
      </w:r>
    </w:p>
    <w:p>
      <w:pPr>
        <w:spacing w:after="200"/>
        <w:jc w:val="center"/>
      </w:pPr>
      <w:r>
        <w:rPr>
          <w:rFonts w:ascii="Arial" w:cs="Arial" w:eastAsia="Arial" w:hAnsi="Arial"/>
          <w:i/>
          <w:iCs/>
          <w:color w:val="888888"/>
          <w:sz w:val="20"/>
          <w:szCs w:val="20"/>
        </w:rPr>
        <w:t xml:space="preserve">Timelines and requirements reflect general guidance as of publication. Consulate requirements vary and change without notice. Verify all requirements directly with your jurisdictional consulate before proceeding.</w:t>
      </w:r>
    </w:p>
    <w:p>
      <w:r>
        <w:br w:type="page"/>
      </w:r>
    </w:p>
    <w:p>
      <w:pPr>
        <w:pStyle w:val="Heading1"/>
      </w:pPr>
      <w:r>
        <w:t xml:space="preserve">Visa Pathway Comparison</w:t>
      </w:r>
    </w:p>
    <w:p>
      <w:pPr>
        <w:spacing w:after="120"/>
      </w:pPr>
      <w:r>
        <w:rPr>
          <w:rFonts w:ascii="Arial" w:cs="Arial" w:eastAsia="Arial" w:hAnsi="Arial"/>
          <w:sz w:val="22"/>
          <w:szCs w:val="22"/>
        </w:rPr>
        <w:t xml:space="preserve">All five pathways available through the GEO Expedition Italy Relocation Program.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00"/>
        <w:gridCol w:w="1600"/>
        <w:gridCol w:w="1600"/>
        <w:gridCol w:w="1600"/>
        <w:gridCol w:w="1600"/>
        <w:gridCol w:w="1560"/>
      </w:tblGrid>
      <w:tr>
        <w:tc>
          <w:tcPr>
            <w:tcW w:type="dxa" w:w="1400"/>
            <w:tcBorders>
              <w:top w:val="single" w:color="1B3A5C" w:sz="1"/>
              <w:left w:val="single" w:color="1B3A5C" w:sz="1"/>
              <w:bottom w:val="single" w:color="1B3A5C" w:sz="1"/>
              <w:right w:val="single" w:color="1B3A5C" w:sz="1"/>
            </w:tcBorders>
            <w:shd w:fill="1B3A5C" w:val="clear"/>
            <w:tcMar>
              <w:top w:type="dxa" w:w="60"/>
              <w:left w:type="dxa" w:w="100"/>
              <w:bottom w:type="dxa" w:w="60"/>
              <w:right w:type="dxa" w:w="100"/>
            </w:tcMar>
          </w:tcPr>
          <w:p>
            <w:r>
              <w:rPr>
                <w:rFonts w:ascii="Arial" w:cs="Arial" w:eastAsia="Arial" w:hAnsi="Arial"/>
                <w:b/>
                <w:bCs/>
                <w:color w:val="FFFFFF"/>
                <w:sz w:val="18"/>
                <w:szCs w:val="18"/>
              </w:rPr>
              <w:t xml:space="preserve">Criteria</w:t>
            </w:r>
          </w:p>
        </w:tc>
        <w:tc>
          <w:tcPr>
            <w:tcW w:type="dxa" w:w="1600"/>
            <w:tcBorders>
              <w:top w:val="single" w:color="1B3A5C" w:sz="1"/>
              <w:left w:val="single" w:color="1B3A5C" w:sz="1"/>
              <w:bottom w:val="single" w:color="1B3A5C" w:sz="1"/>
              <w:right w:val="single" w:color="1B3A5C" w:sz="1"/>
            </w:tcBorders>
            <w:shd w:fill="1B3A5C" w:val="clear"/>
            <w:tcMar>
              <w:top w:type="dxa" w:w="60"/>
              <w:left w:type="dxa" w:w="100"/>
              <w:bottom w:type="dxa" w:w="60"/>
              <w:right w:type="dxa" w:w="100"/>
            </w:tcMar>
          </w:tcPr>
          <w:p>
            <w:r>
              <w:rPr>
                <w:rFonts w:ascii="Arial" w:cs="Arial" w:eastAsia="Arial" w:hAnsi="Arial"/>
                <w:b/>
                <w:bCs/>
                <w:color w:val="FFFFFF"/>
                <w:sz w:val="18"/>
                <w:szCs w:val="18"/>
              </w:rPr>
              <w:t xml:space="preserve">ERV</w:t>
            </w:r>
          </w:p>
        </w:tc>
        <w:tc>
          <w:tcPr>
            <w:tcW w:type="dxa" w:w="1600"/>
            <w:tcBorders>
              <w:top w:val="single" w:color="1B3A5C" w:sz="1"/>
              <w:left w:val="single" w:color="1B3A5C" w:sz="1"/>
              <w:bottom w:val="single" w:color="1B3A5C" w:sz="1"/>
              <w:right w:val="single" w:color="1B3A5C" w:sz="1"/>
            </w:tcBorders>
            <w:shd w:fill="1B3A5C" w:val="clear"/>
            <w:tcMar>
              <w:top w:type="dxa" w:w="60"/>
              <w:left w:type="dxa" w:w="100"/>
              <w:bottom w:type="dxa" w:w="60"/>
              <w:right w:type="dxa" w:w="100"/>
            </w:tcMar>
          </w:tcPr>
          <w:p>
            <w:r>
              <w:rPr>
                <w:rFonts w:ascii="Arial" w:cs="Arial" w:eastAsia="Arial" w:hAnsi="Arial"/>
                <w:b/>
                <w:bCs/>
                <w:color w:val="FFFFFF"/>
                <w:sz w:val="18"/>
                <w:szCs w:val="18"/>
              </w:rPr>
              <w:t xml:space="preserve">Digital Nomad</w:t>
            </w:r>
          </w:p>
        </w:tc>
        <w:tc>
          <w:tcPr>
            <w:tcW w:type="dxa" w:w="1600"/>
            <w:tcBorders>
              <w:top w:val="single" w:color="1B3A5C" w:sz="1"/>
              <w:left w:val="single" w:color="1B3A5C" w:sz="1"/>
              <w:bottom w:val="single" w:color="1B3A5C" w:sz="1"/>
              <w:right w:val="single" w:color="1B3A5C" w:sz="1"/>
            </w:tcBorders>
            <w:shd w:fill="1B3A5C" w:val="clear"/>
            <w:tcMar>
              <w:top w:type="dxa" w:w="60"/>
              <w:left w:type="dxa" w:w="100"/>
              <w:bottom w:type="dxa" w:w="60"/>
              <w:right w:type="dxa" w:w="100"/>
            </w:tcMar>
          </w:tcPr>
          <w:p>
            <w:r>
              <w:rPr>
                <w:rFonts w:ascii="Arial" w:cs="Arial" w:eastAsia="Arial" w:hAnsi="Arial"/>
                <w:b/>
                <w:bCs/>
                <w:color w:val="FFFFFF"/>
                <w:sz w:val="18"/>
                <w:szCs w:val="18"/>
              </w:rPr>
              <w:t xml:space="preserve">Jure Sanguinis</w:t>
            </w:r>
          </w:p>
        </w:tc>
        <w:tc>
          <w:tcPr>
            <w:tcW w:type="dxa" w:w="1600"/>
            <w:tcBorders>
              <w:top w:val="single" w:color="1B3A5C" w:sz="1"/>
              <w:left w:val="single" w:color="1B3A5C" w:sz="1"/>
              <w:bottom w:val="single" w:color="1B3A5C" w:sz="1"/>
              <w:right w:val="single" w:color="1B3A5C" w:sz="1"/>
            </w:tcBorders>
            <w:shd w:fill="1B3A5C" w:val="clear"/>
            <w:tcMar>
              <w:top w:type="dxa" w:w="60"/>
              <w:left w:type="dxa" w:w="100"/>
              <w:bottom w:type="dxa" w:w="60"/>
              <w:right w:type="dxa" w:w="100"/>
            </w:tcMar>
          </w:tcPr>
          <w:p>
            <w:r>
              <w:rPr>
                <w:rFonts w:ascii="Arial" w:cs="Arial" w:eastAsia="Arial" w:hAnsi="Arial"/>
                <w:b/>
                <w:bCs/>
                <w:color w:val="FFFFFF"/>
                <w:sz w:val="18"/>
                <w:szCs w:val="18"/>
              </w:rPr>
              <w:t xml:space="preserve">Student</w:t>
            </w:r>
          </w:p>
        </w:tc>
        <w:tc>
          <w:tcPr>
            <w:tcW w:type="dxa" w:w="1560"/>
            <w:tcBorders>
              <w:top w:val="single" w:color="1B3A5C" w:sz="1"/>
              <w:left w:val="single" w:color="1B3A5C" w:sz="1"/>
              <w:bottom w:val="single" w:color="1B3A5C" w:sz="1"/>
              <w:right w:val="single" w:color="1B3A5C" w:sz="1"/>
            </w:tcBorders>
            <w:shd w:fill="1B3A5C" w:val="clear"/>
            <w:tcMar>
              <w:top w:type="dxa" w:w="60"/>
              <w:left w:type="dxa" w:w="100"/>
              <w:bottom w:type="dxa" w:w="60"/>
              <w:right w:type="dxa" w:w="100"/>
            </w:tcMar>
          </w:tcPr>
          <w:p>
            <w:r>
              <w:rPr>
                <w:rFonts w:ascii="Arial" w:cs="Arial" w:eastAsia="Arial" w:hAnsi="Arial"/>
                <w:b/>
                <w:bCs/>
                <w:color w:val="FFFFFF"/>
                <w:sz w:val="18"/>
                <w:szCs w:val="18"/>
              </w:rPr>
              <w:t xml:space="preserve">Family Reunification</w:t>
            </w:r>
          </w:p>
        </w:tc>
      </w:tr>
      <w:tr>
        <w:tc>
          <w:tcPr>
            <w:tcW w:type="dxa" w:w="14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color w:val="1B3A5C"/>
                <w:sz w:val="18"/>
                <w:szCs w:val="18"/>
              </w:rPr>
              <w:t xml:space="preserve">Best For</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Retirees &amp; financially independent individuals with passive income</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Remote workers employed by or serving non-Italian clients</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Those with Italian ancestry seeking citizenship rather than residency</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Those pursuing structured study at an Italian institution</w:t>
            </w:r>
          </w:p>
        </w:tc>
        <w:tc>
          <w:tcPr>
            <w:tcW w:type="dxa" w:w="15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Those joining a spouse, parent, or other qualifying family member in Italy</w:t>
            </w:r>
          </w:p>
        </w:tc>
      </w:tr>
      <w:tr>
        <w:tc>
          <w:tcPr>
            <w:tcW w:type="dxa" w:w="14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color w:val="1B3A5C"/>
                <w:sz w:val="18"/>
                <w:szCs w:val="18"/>
              </w:rPr>
              <w:t xml:space="preserve">Income Requirement</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~€31,000/yr passive income (individual); €38,000+ with spouse</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~€28,000/yr remote work income; must be from non-Italian sources</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None — citizenship claim, not income-based</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Sufficient funds for program duration; varies by institution &amp; consulate</w:t>
            </w:r>
          </w:p>
        </w:tc>
        <w:tc>
          <w:tcPr>
            <w:tcW w:type="dxa" w:w="15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Assessed against Italian-side sponsor’s income, not applicant’s</w:t>
            </w:r>
          </w:p>
        </w:tc>
      </w:tr>
      <w:tr>
        <w:tc>
          <w:tcPr>
            <w:tcW w:type="dxa" w:w="14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color w:val="1B3A5C"/>
                <w:sz w:val="18"/>
                <w:szCs w:val="18"/>
              </w:rPr>
              <w:t xml:space="preserve">Income Type</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Passive only: pension, Social Security, dividends, rental income</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Active remote work: employment or freelance for foreign entities</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N/A</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Savings, scholarship, parental support</w:t>
            </w:r>
          </w:p>
        </w:tc>
        <w:tc>
          <w:tcPr>
            <w:tcW w:type="dxa" w:w="15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Sponsor-based — your own income is secondary</w:t>
            </w:r>
          </w:p>
        </w:tc>
      </w:tr>
      <w:tr>
        <w:tc>
          <w:tcPr>
            <w:tcW w:type="dxa" w:w="14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color w:val="1B3A5C"/>
                <w:sz w:val="18"/>
                <w:szCs w:val="18"/>
              </w:rPr>
              <w:t xml:space="preserve">Typical Timeline</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6–18 months (FBI check is critical path)</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4–10 months (newer — consulate experience varies)</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2–10+ years (genealogical research + records)</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3–8 months (enrollment letter drives timeline)</w:t>
            </w:r>
          </w:p>
        </w:tc>
        <w:tc>
          <w:tcPr>
            <w:tcW w:type="dxa" w:w="15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6–18 months (nulla osta is critical path)</w:t>
            </w:r>
          </w:p>
        </w:tc>
      </w:tr>
      <w:tr>
        <w:tc>
          <w:tcPr>
            <w:tcW w:type="dxa" w:w="14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color w:val="1B3A5C"/>
                <w:sz w:val="18"/>
                <w:szCs w:val="18"/>
              </w:rPr>
              <w:t xml:space="preserve">Key Critical Path Item</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FBI background check (10–16 weeks + apostille)</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Employment/client documentation + FBI check</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Italian vital records from comune (6–24 months)</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Enrollment/acceptance letter from institution</w:t>
            </w:r>
          </w:p>
        </w:tc>
        <w:tc>
          <w:tcPr>
            <w:tcW w:type="dxa" w:w="15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Nulla osta (authorization) from Italian prefecture</w:t>
            </w:r>
          </w:p>
        </w:tc>
      </w:tr>
      <w:tr>
        <w:tc>
          <w:tcPr>
            <w:tcW w:type="dxa" w:w="14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color w:val="1B3A5C"/>
                <w:sz w:val="18"/>
                <w:szCs w:val="18"/>
              </w:rPr>
              <w:t xml:space="preserve">Initial Permit Duration</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1 year — renewable in Italy for 2-year periods</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1 year — renewal terms evolving</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N/A — citizenship, not a permit</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1 academic year — renewable with enrollment proof</w:t>
            </w:r>
          </w:p>
        </w:tc>
        <w:tc>
          <w:tcPr>
            <w:tcW w:type="dxa" w:w="15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2 years — renewable</w:t>
            </w:r>
          </w:p>
        </w:tc>
      </w:tr>
      <w:tr>
        <w:tc>
          <w:tcPr>
            <w:tcW w:type="dxa" w:w="14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color w:val="1B3A5C"/>
                <w:sz w:val="18"/>
                <w:szCs w:val="18"/>
              </w:rPr>
              <w:t xml:space="preserve">Work Authorization</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No — ERV explicitly prohibits Italian employment</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Yes — remote work for non-Italian clients/employers only</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Yes — full Italian (EU) citizenship rights</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Limited — part-time work sometimes permitted</w:t>
            </w:r>
          </w:p>
        </w:tc>
        <w:tc>
          <w:tcPr>
            <w:tcW w:type="dxa" w:w="15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Depends on sponsor’s status and your permit type</w:t>
            </w:r>
          </w:p>
        </w:tc>
      </w:tr>
      <w:tr>
        <w:tc>
          <w:tcPr>
            <w:tcW w:type="dxa" w:w="14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color w:val="1B3A5C"/>
                <w:sz w:val="18"/>
                <w:szCs w:val="18"/>
              </w:rPr>
              <w:t xml:space="preserve">Path to Permanent Residency</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5 years of legal residency</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5 years of legal residency</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Immediate — citizenship includes permanent right of abode</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5 years (may require status change)</w:t>
            </w:r>
          </w:p>
        </w:tc>
        <w:tc>
          <w:tcPr>
            <w:tcW w:type="dxa" w:w="15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5 years of legal residency</w:t>
            </w:r>
          </w:p>
        </w:tc>
      </w:tr>
      <w:tr>
        <w:tc>
          <w:tcPr>
            <w:tcW w:type="dxa" w:w="14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color w:val="1B3A5C"/>
                <w:sz w:val="18"/>
                <w:szCs w:val="18"/>
              </w:rPr>
              <w:t xml:space="preserve">Path to Italian Citizenship</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10 years of legal residency</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10 years of legal residency</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Immediate upon recognition</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10 years of legal residency</w:t>
            </w:r>
          </w:p>
        </w:tc>
        <w:tc>
          <w:tcPr>
            <w:tcW w:type="dxa" w:w="15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5 years if spouse of Italian citizen; 10 years otherwise</w:t>
            </w:r>
          </w:p>
        </w:tc>
      </w:tr>
      <w:tr>
        <w:tc>
          <w:tcPr>
            <w:tcW w:type="dxa" w:w="14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color w:val="1B3A5C"/>
                <w:sz w:val="18"/>
                <w:szCs w:val="18"/>
              </w:rPr>
              <w:t xml:space="preserve">EU Rights Upon Grant</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No — residency only</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No — residency only</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Yes — full EU citizenship</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No — residency only</w:t>
            </w:r>
          </w:p>
        </w:tc>
        <w:tc>
          <w:tcPr>
            <w:tcW w:type="dxa" w:w="15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No — residency only</w:t>
            </w:r>
          </w:p>
        </w:tc>
      </w:tr>
      <w:tr>
        <w:tc>
          <w:tcPr>
            <w:tcW w:type="dxa" w:w="14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color w:val="1B3A5C"/>
                <w:sz w:val="18"/>
                <w:szCs w:val="18"/>
              </w:rPr>
              <w:t xml:space="preserve">Application Initiated By</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Applicant at U.S. consulate</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Applicant at U.S. consulate</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Applicant (via consulate or Italian residency route)</w:t>
            </w:r>
          </w:p>
        </w:tc>
        <w:tc>
          <w:tcPr>
            <w:tcW w:type="dxa" w:w="16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Applicant at U.S. consulate after enrollment</w:t>
            </w:r>
          </w:p>
        </w:tc>
        <w:tc>
          <w:tcPr>
            <w:tcW w:type="dxa" w:w="15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Italian-side sponsor at prefettura (prefecture), then applicant at U.S. consulate</w:t>
            </w:r>
          </w:p>
        </w:tc>
      </w:tr>
      <w:tr>
        <w:tc>
          <w:tcPr>
            <w:tcW w:type="dxa" w:w="14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color w:val="1B3A5C"/>
                <w:sz w:val="18"/>
                <w:szCs w:val="18"/>
              </w:rPr>
              <w:t xml:space="preserve">Complexity Level</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Moderate</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Moderate-High — newer category</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Very High — genealogical research, long timeline</w:t>
            </w:r>
          </w:p>
        </w:tc>
        <w:tc>
          <w:tcPr>
            <w:tcW w:type="dxa" w:w="16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Low-Moderate — enrollment-driven</w:t>
            </w:r>
          </w:p>
        </w:tc>
        <w:tc>
          <w:tcPr>
            <w:tcW w:type="dxa" w:w="15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Moderate — depends on sponsor coordination</w:t>
            </w:r>
          </w:p>
        </w:tc>
      </w:tr>
    </w:tbl>
    <w:p>
      <w:r>
        <w:br w:type="page"/>
      </w:r>
    </w:p>
    <w:p>
      <w:pPr>
        <w:pStyle w:val="Heading1"/>
      </w:pPr>
      <w:r>
        <w:t xml:space="preserve">Elective Residency Visa (ERV)</w:t>
      </w:r>
    </w:p>
    <w:p>
      <w:pPr>
        <w:spacing w:after="120"/>
      </w:pPr>
      <w:r>
        <w:rPr>
          <w:rFonts w:ascii="Arial" w:cs="Arial" w:eastAsia="Arial" w:hAnsi="Arial"/>
          <w:sz w:val="22"/>
          <w:szCs w:val="22"/>
        </w:rPr>
        <w:t xml:space="preserve">For retirees and financially independent individuals with passive income</w:t>
      </w:r>
    </w:p>
    <w:p>
      <w:pPr>
        <w:pStyle w:val="Heading2"/>
      </w:pPr>
      <w:r>
        <w:t xml:space="preserve">Overview</w:t>
      </w:r>
    </w:p>
    <w:p>
      <w:pPr>
        <w:spacing w:after="120"/>
      </w:pPr>
      <w:r>
        <w:rPr>
          <w:rFonts w:ascii="Arial" w:cs="Arial" w:eastAsia="Arial" w:hAnsi="Arial"/>
          <w:sz w:val="22"/>
          <w:szCs w:val="22"/>
        </w:rPr>
        <w:t xml:space="preserve">The Elective Residency Visa (ERV) is designed for financially independent individuals who can support themselves in Italy without working. It is one of the most well-established and accessible Italian visa pathways for Americans with stable retirement, investment, or other passive income.</w:t>
      </w:r>
    </w:p>
    <w:p>
      <w:pPr>
        <w:spacing w:after="120"/>
      </w:pPr>
      <w:r>
        <w:rPr>
          <w:rFonts w:ascii="Arial" w:cs="Arial" w:eastAsia="Arial" w:hAnsi="Arial"/>
          <w:sz w:val="22"/>
          <w:szCs w:val="22"/>
        </w:rPr>
        <w:t xml:space="preserve">The ERV explicitly prohibits employment in Italy. Your income must come from sources outside Italy — pensions, Social Security, investment dividends, rental income, or annuities.</w:t>
      </w:r>
    </w:p>
    <w:p>
      <w:pPr>
        <w:spacing w:after="120"/>
      </w:pPr>
      <w:r>
        <w:rPr>
          <w:rFonts w:ascii="Arial" w:cs="Arial" w:eastAsia="Arial" w:hAnsi="Arial"/>
          <w:sz w:val="22"/>
          <w:szCs w:val="22"/>
        </w:rPr>
        <w:t xml:space="preserve">The ERV grants an initial one-year permesso di soggiorno (residence permit), renewable in Italy for two-year periods. After five years of continuous legal residency, you become eligible for permanent residency. After ten years, Italian citizenship.</w:t>
      </w:r>
    </w:p>
    <w:p>
      <w:pPr>
        <w:pStyle w:val="Heading2"/>
      </w:pPr>
      <w:r>
        <w:t xml:space="preserve">Eligibility &amp; Requirements</w:t>
      </w:r>
    </w:p>
    <w:p>
      <w:pPr>
        <w:pStyle w:val="Heading3"/>
      </w:pPr>
      <w:r>
        <w:t xml:space="preserve">Income Thresholds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00"/>
        <w:gridCol w:w="3100"/>
        <w:gridCol w:w="3160"/>
      </w:tblGrid>
      <w:tr>
        <w:tc>
          <w:tcPr>
            <w:tcW w:type="dxa" w:w="3100"/>
            <w:tcBorders>
              <w:top w:val="single" w:color="1B3A5C" w:sz="1"/>
              <w:left w:val="single" w:color="1B3A5C" w:sz="1"/>
              <w:bottom w:val="single" w:color="1B3A5C" w:sz="1"/>
              <w:right w:val="single" w:color="1B3A5C" w:sz="1"/>
            </w:tcBorders>
            <w:shd w:fill="1B3A5C" w:val="clear"/>
            <w:tcMar>
              <w:top w:type="dxa" w:w="60"/>
              <w:left w:type="dxa" w:w="100"/>
              <w:bottom w:type="dxa" w:w="60"/>
              <w:right w:type="dxa" w:w="100"/>
            </w:tcMar>
          </w:tcPr>
          <w:p>
            <w:r>
              <w:rPr>
                <w:rFonts w:ascii="Arial" w:cs="Arial" w:eastAsia="Arial" w:hAnsi="Arial"/>
                <w:b/>
                <w:bCs/>
                <w:color w:val="FFFFFF"/>
                <w:sz w:val="18"/>
                <w:szCs w:val="18"/>
              </w:rPr>
              <w:t xml:space="preserve">Household</w:t>
            </w:r>
          </w:p>
        </w:tc>
        <w:tc>
          <w:tcPr>
            <w:tcW w:type="dxa" w:w="3100"/>
            <w:tcBorders>
              <w:top w:val="single" w:color="1B3A5C" w:sz="1"/>
              <w:left w:val="single" w:color="1B3A5C" w:sz="1"/>
              <w:bottom w:val="single" w:color="1B3A5C" w:sz="1"/>
              <w:right w:val="single" w:color="1B3A5C" w:sz="1"/>
            </w:tcBorders>
            <w:shd w:fill="1B3A5C" w:val="clear"/>
            <w:tcMar>
              <w:top w:type="dxa" w:w="60"/>
              <w:left w:type="dxa" w:w="100"/>
              <w:bottom w:type="dxa" w:w="60"/>
              <w:right w:type="dxa" w:w="100"/>
            </w:tcMar>
          </w:tcPr>
          <w:p>
            <w:r>
              <w:rPr>
                <w:rFonts w:ascii="Arial" w:cs="Arial" w:eastAsia="Arial" w:hAnsi="Arial"/>
                <w:b/>
                <w:bCs/>
                <w:color w:val="FFFFFF"/>
                <w:sz w:val="18"/>
                <w:szCs w:val="18"/>
              </w:rPr>
              <w:t xml:space="preserve">Standard Consulates</w:t>
            </w:r>
          </w:p>
        </w:tc>
        <w:tc>
          <w:tcPr>
            <w:tcW w:type="dxa" w:w="3160"/>
            <w:tcBorders>
              <w:top w:val="single" w:color="1B3A5C" w:sz="1"/>
              <w:left w:val="single" w:color="1B3A5C" w:sz="1"/>
              <w:bottom w:val="single" w:color="1B3A5C" w:sz="1"/>
              <w:right w:val="single" w:color="1B3A5C" w:sz="1"/>
            </w:tcBorders>
            <w:shd w:fill="1B3A5C" w:val="clear"/>
            <w:tcMar>
              <w:top w:type="dxa" w:w="60"/>
              <w:left w:type="dxa" w:w="100"/>
              <w:bottom w:type="dxa" w:w="60"/>
              <w:right w:type="dxa" w:w="100"/>
            </w:tcMar>
          </w:tcPr>
          <w:p>
            <w:r>
              <w:rPr>
                <w:rFonts w:ascii="Arial" w:cs="Arial" w:eastAsia="Arial" w:hAnsi="Arial"/>
                <w:b/>
                <w:bCs/>
                <w:color w:val="FFFFFF"/>
                <w:sz w:val="18"/>
                <w:szCs w:val="18"/>
              </w:rPr>
              <w:t xml:space="preserve">Stricter Consulates</w:t>
            </w:r>
          </w:p>
        </w:tc>
      </w:tr>
      <w:tr>
        <w:tc>
          <w:tcPr>
            <w:tcW w:type="dxa" w:w="31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Individual applicant</w:t>
            </w:r>
          </w:p>
        </w:tc>
        <w:tc>
          <w:tcPr>
            <w:tcW w:type="dxa" w:w="31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~€31,000 / yr</w:t>
            </w:r>
          </w:p>
        </w:tc>
        <w:tc>
          <w:tcPr>
            <w:tcW w:type="dxa" w:w="3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~€34,500 / yr</w:t>
            </w:r>
          </w:p>
        </w:tc>
      </w:tr>
      <w:tr>
        <w:tc>
          <w:tcPr>
            <w:tcW w:type="dxa" w:w="31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With spouse or partner</w:t>
            </w:r>
          </w:p>
        </w:tc>
        <w:tc>
          <w:tcPr>
            <w:tcW w:type="dxa" w:w="31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~€37,200 / yr</w:t>
            </w:r>
          </w:p>
        </w:tc>
        <w:tc>
          <w:tcPr>
            <w:tcW w:type="dxa" w:w="31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18"/>
                <w:szCs w:val="18"/>
              </w:rPr>
              <w:t xml:space="preserve">~€41,300 / yr</w:t>
            </w:r>
          </w:p>
        </w:tc>
      </w:tr>
      <w:tr>
        <w:tc>
          <w:tcPr>
            <w:tcW w:type="dxa" w:w="31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Each additional dependent</w:t>
            </w:r>
          </w:p>
        </w:tc>
        <w:tc>
          <w:tcPr>
            <w:tcW w:type="dxa" w:w="31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+~€5,000 / yr</w:t>
            </w:r>
          </w:p>
        </w:tc>
        <w:tc>
          <w:tcPr>
            <w:tcW w:type="dxa" w:w="3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18"/>
                <w:szCs w:val="18"/>
              </w:rPr>
              <w:t xml:space="preserve">+~€5,500 / yr</w:t>
            </w:r>
          </w:p>
        </w:tc>
      </w:tr>
    </w:tbl>
    <w:p>
      <w:pPr>
        <w:spacing w:after="120"/>
      </w:pPr>
      <w:r>
        <w:rPr>
          <w:rFonts w:ascii="Arial" w:cs="Arial" w:eastAsia="Arial" w:hAnsi="Arial"/>
          <w:sz w:val="22"/>
          <w:szCs w:val="22"/>
        </w:rPr>
        <w:t xml:space="preserve">These are reference figures based on applicant reports. Always verify with your jurisdictional consulate.</w:t>
      </w:r>
    </w:p>
    <w:p>
      <w:pPr>
        <w:pStyle w:val="Heading3"/>
      </w:pPr>
      <w:r>
        <w:t xml:space="preserve">Qualifying Income Types</w:t>
      </w:r>
    </w:p>
    <w:p>
      <w:pPr>
        <w:spacing w:after="120"/>
      </w:pPr>
      <w:r>
        <w:rPr>
          <w:rFonts w:ascii="Arial" w:cs="Arial" w:eastAsia="Arial" w:hAnsi="Arial"/>
          <w:sz w:val="22"/>
          <w:szCs w:val="22"/>
        </w:rPr>
        <w:t xml:space="preserve">Pension payments, Social Security benefits, investment dividends and interest, rental income, IRA/401(k) distributions, annuity payments.</w:t>
      </w:r>
    </w:p>
    <w:p>
      <w:pPr>
        <w:spacing w:after="120"/>
      </w:pPr>
      <w:r>
        <w:rPr>
          <w:rFonts w:ascii="Arial" w:cs="Arial" w:eastAsia="Arial" w:hAnsi="Arial"/>
          <w:b/>
          <w:bCs/>
          <w:sz w:val="22"/>
          <w:szCs w:val="22"/>
        </w:rPr>
        <w:t xml:space="preserve">Does not qualify: </w:t>
      </w:r>
      <w:r>
        <w:rPr>
          <w:rFonts w:ascii="Arial" w:cs="Arial" w:eastAsia="Arial" w:hAnsi="Arial"/>
          <w:sz w:val="22"/>
          <w:szCs w:val="22"/>
        </w:rPr>
        <w:t xml:space="preserve">Earned income from employment or self-employment, bank balances, projected future income.</w:t>
      </w:r>
    </w:p>
    <w:p>
      <w:pPr>
        <w:pStyle w:val="Heading3"/>
      </w:pPr>
      <w:r>
        <w:t xml:space="preserve">Required Documents</w:t>
      </w:r>
    </w:p>
    <w:p>
      <w:pPr>
        <w:spacing w:after="120"/>
      </w:pPr>
      <w:r>
        <w:rPr>
          <w:rFonts w:ascii="Arial" w:cs="Arial" w:eastAsia="Arial" w:hAnsi="Arial"/>
          <w:sz w:val="22"/>
          <w:szCs w:val="22"/>
        </w:rPr>
        <w:t xml:space="preserve">• Valid U.S. passport — minimum 6 months validity beyond intended stay
• FBI background check with apostille — allow 10–16 weeks
• Proof of passive income — Social Security award letter, pension statements, brokerage/bank statements
• Italian accommodation — signed 12-month rental agreement registered with Agenzia delle Entrate (Italian Revenue Agency), or property deed
• Qualifying international health insurance with repatriation coverage
• Codice Fiscale (Italian tax ID number)
• Completed Modulo di domanda (visa application form)
• Certified Italian translations of all non-Italian documents</w:t>
      </w:r>
    </w:p>
    <w:p>
      <w:pPr>
        <w:pStyle w:val="Heading2"/>
      </w:pPr>
      <w:r>
        <w:t xml:space="preserve">Application Process</w:t>
      </w:r>
    </w:p>
    <w:p>
      <w:pPr>
        <w:spacing w:after="120"/>
      </w:pPr>
      <w:r>
        <w:rPr>
          <w:rFonts w:ascii="Arial" w:cs="Arial" w:eastAsia="Arial" w:hAnsi="Arial"/>
          <w:sz w:val="22"/>
          <w:szCs w:val="22"/>
        </w:rPr>
        <w:t xml:space="preserve">1. Confirm eligibility and research your consulate (Phase 2, 1–2 weeks)
2. Order FBI background check immediately (Critical path, 10–16 weeks)
3. Secure Italian accommodation (Phase 2–3, 2–8 weeks)
4. Compile income documentation and obtain insurance (Phase 2–3, 2–4 weeks)
5. Translate documents and book consulate appointment (Phase 3, 2–4 weeks)
6. Legal review and consulate appointment (Phase 3)
7. Await visa decision (4–12 weeks after appointment)</w:t>
      </w:r>
    </w:p>
    <w:p>
      <w:pPr>
        <w:pStyle w:val="Heading2"/>
      </w:pPr>
      <w:r>
        <w:t xml:space="preserve">Post-Arrival Steps</w:t>
      </w:r>
    </w:p>
    <w:p>
      <w:pPr>
        <w:spacing w:after="120"/>
      </w:pPr>
      <w:r>
        <w:rPr>
          <w:rFonts w:ascii="Arial" w:cs="Arial" w:eastAsia="Arial" w:hAnsi="Arial"/>
          <w:sz w:val="22"/>
          <w:szCs w:val="22"/>
        </w:rPr>
        <w:t xml:space="preserve">• Register residency at the Comune (municipal city hall) / Anagrafe (civil registry) within 8 days
• Apply for Permesso di Soggiorno (residence permit) at the Poste Italiane (post office) within 8 days. The Questura (police headquarters) will schedule a fingerprinting appointment.
• Enroll in the SSN (Servizio Sanitario Nazionale — National Health Service). Confirm eligibility at your local ASL (local health authority) office.
• Open an Italian bank account — Codice Fiscale (Italian tax ID) and permesso receipt required
• Register for utilities and services</w:t>
      </w:r>
    </w:p>
    <w:p>
      <w:pPr>
        <w:pStyle w:val="Heading2"/>
      </w:pPr>
      <w:r>
        <w:t xml:space="preserve">Renewal &amp; Long-Term Path</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6160"/>
      </w:tblGrid>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Initial permit</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1 year</w:t>
            </w:r>
          </w:p>
        </w:tc>
      </w:tr>
      <w:tr>
        <w:tc>
          <w:tcPr>
            <w:tcW w:type="dxa" w:w="32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sz w:val="20"/>
                <w:szCs w:val="20"/>
              </w:rPr>
              <w:t xml:space="preserve">Renewal</w:t>
            </w:r>
          </w:p>
        </w:tc>
        <w:tc>
          <w:tcPr>
            <w:tcW w:type="dxa" w:w="61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20"/>
                <w:szCs w:val="20"/>
              </w:rPr>
              <w:t xml:space="preserve">2-year periods</w:t>
            </w:r>
          </w:p>
        </w:tc>
      </w:tr>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Permanent residency</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After 5 years</w:t>
            </w:r>
          </w:p>
        </w:tc>
      </w:tr>
      <w:tr>
        <w:tc>
          <w:tcPr>
            <w:tcW w:type="dxa" w:w="32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sz w:val="20"/>
                <w:szCs w:val="20"/>
              </w:rPr>
              <w:t xml:space="preserve">Italian citizenship</w:t>
            </w:r>
          </w:p>
        </w:tc>
        <w:tc>
          <w:tcPr>
            <w:tcW w:type="dxa" w:w="61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20"/>
                <w:szCs w:val="20"/>
              </w:rPr>
              <w:t xml:space="preserve">After 10 years</w:t>
            </w:r>
          </w:p>
        </w:tc>
      </w:tr>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EU rights</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Residency only until citizenship</w:t>
            </w:r>
          </w:p>
        </w:tc>
      </w:tr>
    </w:tbl>
    <w:p>
      <w:pPr>
        <w:pStyle w:val="Heading2"/>
      </w:pPr>
      <w:r>
        <w:t xml:space="preserve">Work Authorization</w:t>
      </w:r>
    </w:p>
    <w:p>
      <w:pPr>
        <w:spacing w:after="120"/>
      </w:pPr>
      <w:r>
        <w:rPr>
          <w:rFonts w:ascii="Arial" w:cs="Arial" w:eastAsia="Arial" w:hAnsi="Arial"/>
          <w:sz w:val="22"/>
          <w:szCs w:val="22"/>
        </w:rPr>
        <w:t xml:space="preserve">The ERV explicitly prohibits employment in Italy. You cannot work for Italian companies or freelance for Italian clients.</w:t>
      </w:r>
    </w:p>
    <w:p>
      <w:pPr>
        <w:pStyle w:val="Heading2"/>
      </w:pPr>
      <w:r>
        <w:t xml:space="preserve">Pros &amp; Cons</w:t>
      </w:r>
    </w:p>
    <w:p>
      <w:pPr>
        <w:spacing w:after="120"/>
      </w:pPr>
      <w:r>
        <w:rPr>
          <w:rFonts w:ascii="Arial" w:cs="Arial" w:eastAsia="Arial" w:hAnsi="Arial"/>
          <w:b/>
          <w:bCs/>
          <w:sz w:val="22"/>
          <w:szCs w:val="22"/>
        </w:rPr>
        <w:t xml:space="preserve">Advantages: </w:t>
      </w:r>
      <w:r>
        <w:rPr>
          <w:rFonts w:ascii="Arial" w:cs="Arial" w:eastAsia="Arial" w:hAnsi="Arial"/>
          <w:sz w:val="22"/>
          <w:szCs w:val="22"/>
        </w:rPr>
        <w:t xml:space="preserve">Well-established pathway; straightforward documentation; shorter timeline than Jure Sanguinis; no employer dependency; clear path to permanent residency and citizenship; SSN (National Health Service) access.</w:t>
      </w:r>
    </w:p>
    <w:p>
      <w:pPr>
        <w:spacing w:after="120"/>
      </w:pPr>
      <w:r>
        <w:rPr>
          <w:rFonts w:ascii="Arial" w:cs="Arial" w:eastAsia="Arial" w:hAnsi="Arial"/>
          <w:b/>
          <w:bCs/>
          <w:sz w:val="22"/>
          <w:szCs w:val="22"/>
        </w:rPr>
        <w:t xml:space="preserve">Limitations: </w:t>
      </w:r>
      <w:r>
        <w:rPr>
          <w:rFonts w:ascii="Arial" w:cs="Arial" w:eastAsia="Arial" w:hAnsi="Arial"/>
          <w:sz w:val="22"/>
          <w:szCs w:val="22"/>
        </w:rPr>
        <w:t xml:space="preserve">No work authorization; substantial passive income required (~€31,000+/yr); 12-month lease required before arrival; no EU-wide rights until citizenship (10 years); FBI check timing is finicky (90-day validity window).</w:t>
      </w:r>
    </w:p>
    <w:p>
      <w:pPr>
        <w:pStyle w:val="Heading2"/>
      </w:pPr>
      <w:r>
        <w:t xml:space="preserve">Common Mistakes</w:t>
      </w:r>
    </w:p>
    <w:p>
      <w:pPr>
        <w:spacing w:after="120"/>
      </w:pPr>
      <w:r>
        <w:rPr>
          <w:rFonts w:ascii="Arial" w:cs="Arial" w:eastAsia="Arial" w:hAnsi="Arial"/>
          <w:sz w:val="22"/>
          <w:szCs w:val="22"/>
        </w:rPr>
        <w:t xml:space="preserve">• Ordering the FBI check too early or too late (90-day validity window)
• Using Airbnb or hotel bookings as housing proof (explicitly rejected)
• Confusing bank balances with income
• Waiting to book the consulate appointment
• Skipping legal review ($1,500–$5,000)
• Not researching your specific consulate</w:t>
      </w:r>
    </w:p>
    <w:p>
      <w:r>
        <w:br w:type="page"/>
      </w:r>
    </w:p>
    <w:p>
      <w:pPr>
        <w:pStyle w:val="Heading1"/>
      </w:pPr>
      <w:r>
        <w:t xml:space="preserve">Digital Nomad Visa</w:t>
      </w:r>
    </w:p>
    <w:p>
      <w:pPr>
        <w:spacing w:after="120"/>
      </w:pPr>
      <w:r>
        <w:rPr>
          <w:rFonts w:ascii="Arial" w:cs="Arial" w:eastAsia="Arial" w:hAnsi="Arial"/>
          <w:sz w:val="22"/>
          <w:szCs w:val="22"/>
        </w:rPr>
        <w:t xml:space="preserve">For remote workers employed by or serving non-Italian clients</w:t>
      </w:r>
    </w:p>
    <w:p>
      <w:pPr>
        <w:pStyle w:val="Heading2"/>
      </w:pPr>
      <w:r>
        <w:t xml:space="preserve">Overview</w:t>
      </w:r>
    </w:p>
    <w:p>
      <w:pPr>
        <w:spacing w:after="120"/>
      </w:pPr>
      <w:r>
        <w:rPr>
          <w:rFonts w:ascii="Arial" w:cs="Arial" w:eastAsia="Arial" w:hAnsi="Arial"/>
          <w:sz w:val="22"/>
          <w:szCs w:val="22"/>
        </w:rPr>
        <w:t xml:space="preserve">Italy’s Digital Nomad Visa (introduced 2024) is designed for remote workers who are employed by or provide services to foreign companies. It allows you to live and work remotely in Italy for up to one year, with renewal options.</w:t>
      </w:r>
    </w:p>
    <w:p>
      <w:pPr>
        <w:spacing w:after="120"/>
      </w:pPr>
      <w:r>
        <w:rPr>
          <w:rFonts w:ascii="Arial" w:cs="Arial" w:eastAsia="Arial" w:hAnsi="Arial"/>
          <w:sz w:val="22"/>
          <w:szCs w:val="22"/>
        </w:rPr>
        <w:t xml:space="preserve">Unlike the ERV, the Digital Nomad Visa is built around active earned income rather than passive income. Your employment or freelance contracts must be with non-Italian entities. Because the visa was introduced in 2024, consulate (consolato) interpretation is still evolving.</w:t>
      </w:r>
    </w:p>
    <w:p>
      <w:pPr>
        <w:pStyle w:val="Heading2"/>
      </w:pPr>
      <w:r>
        <w:t xml:space="preserve">Eligibility &amp; Requirements</w:t>
      </w:r>
    </w:p>
    <w:p>
      <w:pPr>
        <w:pStyle w:val="Heading3"/>
      </w:pPr>
      <w:r>
        <w:t xml:space="preserve">Income Threshold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6160"/>
      </w:tblGrid>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Minimum annual income</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~€28,000 / yr</w:t>
            </w:r>
          </w:p>
        </w:tc>
      </w:tr>
      <w:tr>
        <w:tc>
          <w:tcPr>
            <w:tcW w:type="dxa" w:w="32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sz w:val="20"/>
                <w:szCs w:val="20"/>
              </w:rPr>
              <w:t xml:space="preserve">Income source</w:t>
            </w:r>
          </w:p>
        </w:tc>
        <w:tc>
          <w:tcPr>
            <w:tcW w:type="dxa" w:w="61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20"/>
                <w:szCs w:val="20"/>
              </w:rPr>
              <w:t xml:space="preserve">Non-Italian employer or clients only</w:t>
            </w:r>
          </w:p>
        </w:tc>
      </w:tr>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Income type</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Earned income from remote work</w:t>
            </w:r>
          </w:p>
        </w:tc>
      </w:tr>
    </w:tbl>
    <w:p>
      <w:pPr>
        <w:pStyle w:val="Heading3"/>
      </w:pPr>
      <w:r>
        <w:t xml:space="preserve">Required Documents</w:t>
      </w:r>
    </w:p>
    <w:p>
      <w:pPr>
        <w:spacing w:after="120"/>
      </w:pPr>
      <w:r>
        <w:rPr>
          <w:rFonts w:ascii="Arial" w:cs="Arial" w:eastAsia="Arial" w:hAnsi="Arial"/>
          <w:sz w:val="22"/>
          <w:szCs w:val="22"/>
        </w:rPr>
        <w:t xml:space="preserve">• Valid U.S. passport
• FBI background check with apostille
• Employment letter or signed client agreements with non-Italian entities
• Income documentation (payslips, bank statements, invoices)
• Italian accommodation documentation (registered lease or property deed)
• Qualifying international health insurance
• Codice Fiscale (Italian tax ID number)
• Visa application form with cover letter explaining remote work situation</w:t>
      </w:r>
    </w:p>
    <w:p>
      <w:pPr>
        <w:pStyle w:val="Heading2"/>
      </w:pPr>
      <w:r>
        <w:t xml:space="preserve">Application Process</w:t>
      </w:r>
    </w:p>
    <w:p>
      <w:pPr>
        <w:spacing w:after="120"/>
      </w:pPr>
      <w:r>
        <w:rPr>
          <w:rFonts w:ascii="Arial" w:cs="Arial" w:eastAsia="Arial" w:hAnsi="Arial"/>
          <w:sz w:val="22"/>
          <w:szCs w:val="22"/>
        </w:rPr>
        <w:t xml:space="preserve">1. Confirm eligibility and consulate availability (Phase 2, 1–2 weeks)
2. Order FBI background check immediately (10–16 weeks)
3. Gather employment and income documentation (Phase 2–3, 2–4 weeks)
4. Secure housing and insurance (Phase 2–3, 2–8 weeks)
5. Prepare application and book appointment (Phase 3, 2–3 weeks)
6. Legal review and consulate appointment
7. Await visa decision (2–4 weeks)</w:t>
      </w:r>
    </w:p>
    <w:p>
      <w:pPr>
        <w:pStyle w:val="Heading2"/>
      </w:pPr>
      <w:r>
        <w:t xml:space="preserve">Post-Arrival Steps</w:t>
      </w:r>
    </w:p>
    <w:p>
      <w:pPr>
        <w:spacing w:after="120"/>
      </w:pPr>
      <w:r>
        <w:rPr>
          <w:rFonts w:ascii="Arial" w:cs="Arial" w:eastAsia="Arial" w:hAnsi="Arial"/>
          <w:sz w:val="22"/>
          <w:szCs w:val="22"/>
        </w:rPr>
        <w:t xml:space="preserve">• Register residency at the Comune (municipal city hall) / Anagrafe (civil registry) within 8 days
• Apply for Permesso di Soggiorno (residence permit) within 8 days
• Maintain private health insurance throughout stay (SSN / National Health Service enrollment may not be available)
• Open an Italian bank account
• Continue meeting visa conditions (remote work for non-Italian entities)</w:t>
      </w:r>
    </w:p>
    <w:p>
      <w:pPr>
        <w:pStyle w:val="Heading2"/>
      </w:pPr>
      <w:r>
        <w:t xml:space="preserve">Renewal &amp; Long-Term Path</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6160"/>
      </w:tblGrid>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Initial permit</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1 year</w:t>
            </w:r>
          </w:p>
        </w:tc>
      </w:tr>
      <w:tr>
        <w:tc>
          <w:tcPr>
            <w:tcW w:type="dxa" w:w="32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sz w:val="20"/>
                <w:szCs w:val="20"/>
              </w:rPr>
              <w:t xml:space="preserve">Renewal</w:t>
            </w:r>
          </w:p>
        </w:tc>
        <w:tc>
          <w:tcPr>
            <w:tcW w:type="dxa" w:w="61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20"/>
                <w:szCs w:val="20"/>
              </w:rPr>
              <w:t xml:space="preserve">Terms evolving as category matures</w:t>
            </w:r>
          </w:p>
        </w:tc>
      </w:tr>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Permanent residency</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After 5 years</w:t>
            </w:r>
          </w:p>
        </w:tc>
      </w:tr>
      <w:tr>
        <w:tc>
          <w:tcPr>
            <w:tcW w:type="dxa" w:w="32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sz w:val="20"/>
                <w:szCs w:val="20"/>
              </w:rPr>
              <w:t xml:space="preserve">Italian citizenship</w:t>
            </w:r>
          </w:p>
        </w:tc>
        <w:tc>
          <w:tcPr>
            <w:tcW w:type="dxa" w:w="61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20"/>
                <w:szCs w:val="20"/>
              </w:rPr>
              <w:t xml:space="preserve">After 10 years</w:t>
            </w:r>
          </w:p>
        </w:tc>
      </w:tr>
    </w:tbl>
    <w:p>
      <w:pPr>
        <w:pStyle w:val="Heading2"/>
      </w:pPr>
      <w:r>
        <w:t xml:space="preserve">Work Authorization</w:t>
      </w:r>
    </w:p>
    <w:p>
      <w:pPr>
        <w:spacing w:after="120"/>
      </w:pPr>
      <w:r>
        <w:rPr>
          <w:rFonts w:ascii="Arial" w:cs="Arial" w:eastAsia="Arial" w:hAnsi="Arial"/>
          <w:sz w:val="22"/>
          <w:szCs w:val="22"/>
        </w:rPr>
        <w:t xml:space="preserve">Remote work for non-Italian clients and employers only. You cannot work for Italian companies or serve Italian clients.</w:t>
      </w:r>
    </w:p>
    <w:p>
      <w:pPr>
        <w:pStyle w:val="Heading2"/>
      </w:pPr>
      <w:r>
        <w:t xml:space="preserve">Pros &amp; Cons</w:t>
      </w:r>
    </w:p>
    <w:p>
      <w:pPr>
        <w:spacing w:after="120"/>
      </w:pPr>
      <w:r>
        <w:rPr>
          <w:rFonts w:ascii="Arial" w:cs="Arial" w:eastAsia="Arial" w:hAnsi="Arial"/>
          <w:b/>
          <w:bCs/>
          <w:sz w:val="22"/>
          <w:szCs w:val="22"/>
        </w:rPr>
        <w:t xml:space="preserve">Advantages: </w:t>
      </w:r>
      <w:r>
        <w:rPr>
          <w:rFonts w:ascii="Arial" w:cs="Arial" w:eastAsia="Arial" w:hAnsi="Arial"/>
          <w:sz w:val="22"/>
          <w:szCs w:val="22"/>
        </w:rPr>
        <w:t xml:space="preserve">Continue earning income in Italy; lower threshold than ERV; shorter timeline; ideal for location-independent professionals.</w:t>
      </w:r>
    </w:p>
    <w:p>
      <w:pPr>
        <w:spacing w:after="120"/>
      </w:pPr>
      <w:r>
        <w:rPr>
          <w:rFonts w:ascii="Arial" w:cs="Arial" w:eastAsia="Arial" w:hAnsi="Arial"/>
          <w:b/>
          <w:bCs/>
          <w:sz w:val="22"/>
          <w:szCs w:val="22"/>
        </w:rPr>
        <w:t xml:space="preserve">Limitations: </w:t>
      </w:r>
      <w:r>
        <w:rPr>
          <w:rFonts w:ascii="Arial" w:cs="Arial" w:eastAsia="Arial" w:hAnsi="Arial"/>
          <w:sz w:val="22"/>
          <w:szCs w:val="22"/>
        </w:rPr>
        <w:t xml:space="preserve">Newer visa with evolving interpretation; cannot work for Italian companies; renewal terms evolving; requires documented work relationships; private insurance required.</w:t>
      </w:r>
    </w:p>
    <w:p>
      <w:pPr>
        <w:pStyle w:val="Heading2"/>
      </w:pPr>
      <w:r>
        <w:t xml:space="preserve">Common Mistakes</w:t>
      </w:r>
    </w:p>
    <w:p>
      <w:pPr>
        <w:spacing w:after="120"/>
      </w:pPr>
      <w:r>
        <w:rPr>
          <w:rFonts w:ascii="Arial" w:cs="Arial" w:eastAsia="Arial" w:hAnsi="Arial"/>
          <w:sz w:val="22"/>
          <w:szCs w:val="22"/>
        </w:rPr>
        <w:t xml:space="preserve">• Not confirming your consulate processes this visa
• Providing income proof without work documentation
• Relying on general ERV forums for guidance
• Underestimating the cover letter
• Skipping legal review ($2,000–$7,000)</w:t>
      </w:r>
    </w:p>
    <w:p>
      <w:r>
        <w:br w:type="page"/>
      </w:r>
    </w:p>
    <w:p>
      <w:pPr>
        <w:pStyle w:val="Heading1"/>
      </w:pPr>
      <w:r>
        <w:t xml:space="preserve">Jure Sanguinis (Citizenship by Descent)</w:t>
      </w:r>
    </w:p>
    <w:p>
      <w:pPr>
        <w:spacing w:after="120"/>
      </w:pPr>
      <w:r>
        <w:rPr>
          <w:rFonts w:ascii="Arial" w:cs="Arial" w:eastAsia="Arial" w:hAnsi="Arial"/>
          <w:sz w:val="22"/>
          <w:szCs w:val="22"/>
        </w:rPr>
        <w:t xml:space="preserve">For those with Italian ancestry seeking full citizenship rather than residency</w:t>
      </w:r>
    </w:p>
    <w:p>
      <w:pPr>
        <w:pStyle w:val="Heading2"/>
      </w:pPr>
      <w:r>
        <w:t xml:space="preserve">Overview</w:t>
      </w:r>
    </w:p>
    <w:p>
      <w:pPr>
        <w:spacing w:after="120"/>
      </w:pPr>
      <w:r>
        <w:rPr>
          <w:rFonts w:ascii="Arial" w:cs="Arial" w:eastAsia="Arial" w:hAnsi="Arial"/>
          <w:sz w:val="22"/>
          <w:szCs w:val="22"/>
        </w:rPr>
        <w:t xml:space="preserve">Jure Sanguinis (“by right of blood”) is the pathway to Italian citizenship through direct ancestry. If you have an Italian-born ancestor who never naturalized before transmitting citizenship to the next generation, you may have a legal claim to Italian citizenship.</w:t>
      </w:r>
    </w:p>
    <w:p>
      <w:pPr>
        <w:spacing w:after="120"/>
      </w:pPr>
      <w:r>
        <w:rPr>
          <w:rFonts w:ascii="Arial" w:cs="Arial" w:eastAsia="Arial" w:hAnsi="Arial"/>
          <w:sz w:val="22"/>
          <w:szCs w:val="22"/>
        </w:rPr>
        <w:t xml:space="preserve">This is not a visa or residency permit. It is a recognition of existing citizenship. The result is full Italian (and therefore EU) citizenship with all the rights that entails — permanent, with no renewal required.</w:t>
      </w:r>
    </w:p>
    <w:p>
      <w:pPr>
        <w:pStyle w:val="Heading2"/>
      </w:pPr>
      <w:r>
        <w:t xml:space="preserve">Eligibility &amp; Requirements</w:t>
      </w:r>
    </w:p>
    <w:p>
      <w:pPr>
        <w:spacing w:after="120"/>
      </w:pPr>
      <w:r>
        <w:rPr>
          <w:rFonts w:ascii="Arial" w:cs="Arial" w:eastAsia="Arial" w:hAnsi="Arial"/>
          <w:sz w:val="22"/>
          <w:szCs w:val="22"/>
        </w:rPr>
        <w:t xml:space="preserve">• An Italian-born ancestor (grandparent, great-grandparent, or further back)
• Unbroken line of citizenship transmission
• Complete vital records for every person in the chain
• Italian vital records from the relevant comune (municipality/town)</w:t>
      </w:r>
    </w:p>
    <w:p>
      <w:pPr>
        <w:pStyle w:val="Heading3"/>
      </w:pPr>
      <w:r>
        <w:t xml:space="preserve">Financial Requirements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6160"/>
      </w:tblGrid>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Citizenship application itself</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No income threshold</w:t>
            </w:r>
          </w:p>
        </w:tc>
      </w:tr>
      <w:tr>
        <w:tc>
          <w:tcPr>
            <w:tcW w:type="dxa" w:w="32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sz w:val="20"/>
                <w:szCs w:val="20"/>
              </w:rPr>
              <w:t xml:space="preserve">If residing in Italy during process</w:t>
            </w:r>
          </w:p>
        </w:tc>
        <w:tc>
          <w:tcPr>
            <w:tcW w:type="dxa" w:w="61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20"/>
                <w:szCs w:val="20"/>
              </w:rPr>
              <w:t xml:space="preserve">Depends on secondary visa (e.g., ERV)</w:t>
            </w:r>
          </w:p>
        </w:tc>
      </w:tr>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Consulate-based filing from U.S.</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No income requirement, but 5–10 year waitlist</w:t>
            </w:r>
          </w:p>
        </w:tc>
      </w:tr>
    </w:tbl>
    <w:p>
      <w:pPr>
        <w:pStyle w:val="Heading2"/>
      </w:pPr>
      <w:r>
        <w:t xml:space="preserve">Application Process</w:t>
      </w:r>
    </w:p>
    <w:p>
      <w:pPr>
        <w:pStyle w:val="Heading3"/>
      </w:pPr>
      <w:r>
        <w:t xml:space="preserve">Two Filing Routes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6160"/>
      </w:tblGrid>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Consulate-based (U.S.)</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5–10+ years queue; no residency required</w:t>
            </w:r>
          </w:p>
        </w:tc>
      </w:tr>
      <w:tr>
        <w:tc>
          <w:tcPr>
            <w:tcW w:type="dxa" w:w="32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sz w:val="20"/>
                <w:szCs w:val="20"/>
              </w:rPr>
              <w:t xml:space="preserve">Italian residency route</w:t>
            </w:r>
          </w:p>
        </w:tc>
        <w:tc>
          <w:tcPr>
            <w:tcW w:type="dxa" w:w="61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20"/>
                <w:szCs w:val="20"/>
              </w:rPr>
              <w:t xml:space="preserve">1–3 years; requires separate visa to reside in Italy</w:t>
            </w:r>
          </w:p>
        </w:tc>
      </w:tr>
    </w:tbl>
    <w:p>
      <w:pPr>
        <w:spacing w:after="120"/>
      </w:pPr>
      <w:r>
        <w:rPr>
          <w:rFonts w:ascii="Arial" w:cs="Arial" w:eastAsia="Arial" w:hAnsi="Arial"/>
          <w:sz w:val="22"/>
          <w:szCs w:val="22"/>
        </w:rPr>
        <w:t xml:space="preserve">1. Complete genealogical research (weeks to months)
2. Engage a Jure Sanguinis specialist attorney ($3,000–$15,000+)
3. Request Italian vital records from the comune (municipality) — 6–24 months, critical path
4. Obtain U.S. vital records for every generation (2–4 months)
5. Obtain proof of non-naturalization
6. Translate and apostille all documents
7. File citizenship application via chosen route</w:t>
      </w:r>
    </w:p>
    <w:p>
      <w:pPr>
        <w:pStyle w:val="Heading2"/>
      </w:pPr>
      <w:r>
        <w:t xml:space="preserve">Post-Recognition</w:t>
      </w:r>
    </w:p>
    <w:p>
      <w:pPr>
        <w:spacing w:after="120"/>
      </w:pPr>
      <w:r>
        <w:rPr>
          <w:rFonts w:ascii="Arial" w:cs="Arial" w:eastAsia="Arial" w:hAnsi="Arial"/>
          <w:sz w:val="22"/>
          <w:szCs w:val="22"/>
        </w:rPr>
        <w:t xml:space="preserve">• Register at the AIRE (Registry of Italians Residing Abroad) if living outside Italy
• Obtain an Italian passport
• Register residency at the Anagrafe (civil registry) if moving to Italy
• Full access to Italian and EU services — healthcare via SSN (Servizio Sanitario Nazionale — National Health Service), education, voting rights</w:t>
      </w:r>
    </w:p>
    <w:p>
      <w:pPr>
        <w:pStyle w:val="Heading2"/>
      </w:pPr>
      <w:r>
        <w:t xml:space="preserve">Citizenship Rights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6160"/>
      </w:tblGrid>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Citizenship status</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Full Italian citizen — immediate upon recognition</w:t>
            </w:r>
          </w:p>
        </w:tc>
      </w:tr>
      <w:tr>
        <w:tc>
          <w:tcPr>
            <w:tcW w:type="dxa" w:w="32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sz w:val="20"/>
                <w:szCs w:val="20"/>
              </w:rPr>
              <w:t xml:space="preserve">Renewal required</w:t>
            </w:r>
          </w:p>
        </w:tc>
        <w:tc>
          <w:tcPr>
            <w:tcW w:type="dxa" w:w="61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20"/>
                <w:szCs w:val="20"/>
              </w:rPr>
              <w:t xml:space="preserve">No — permanent and irrevocable</w:t>
            </w:r>
          </w:p>
        </w:tc>
      </w:tr>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EU rights</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Full EU citizenship in all 27 member states</w:t>
            </w:r>
          </w:p>
        </w:tc>
      </w:tr>
      <w:tr>
        <w:tc>
          <w:tcPr>
            <w:tcW w:type="dxa" w:w="32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sz w:val="20"/>
                <w:szCs w:val="20"/>
              </w:rPr>
              <w:t xml:space="preserve">Work authorization</w:t>
            </w:r>
          </w:p>
        </w:tc>
        <w:tc>
          <w:tcPr>
            <w:tcW w:type="dxa" w:w="61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20"/>
                <w:szCs w:val="20"/>
              </w:rPr>
              <w:t xml:space="preserve">Unrestricted</w:t>
            </w:r>
          </w:p>
        </w:tc>
      </w:tr>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Passed to children</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Yes — automatically transmitted</w:t>
            </w:r>
          </w:p>
        </w:tc>
      </w:tr>
    </w:tbl>
    <w:p>
      <w:pPr>
        <w:pStyle w:val="Heading2"/>
      </w:pPr>
      <w:r>
        <w:t xml:space="preserve">Pros &amp; Cons</w:t>
      </w:r>
    </w:p>
    <w:p>
      <w:pPr>
        <w:spacing w:after="120"/>
      </w:pPr>
      <w:r>
        <w:rPr>
          <w:rFonts w:ascii="Arial" w:cs="Arial" w:eastAsia="Arial" w:hAnsi="Arial"/>
          <w:b/>
          <w:bCs/>
          <w:sz w:val="22"/>
          <w:szCs w:val="22"/>
        </w:rPr>
        <w:t xml:space="preserve">Advantages: </w:t>
      </w:r>
      <w:r>
        <w:rPr>
          <w:rFonts w:ascii="Arial" w:cs="Arial" w:eastAsia="Arial" w:hAnsi="Arial"/>
          <w:sz w:val="22"/>
          <w:szCs w:val="22"/>
        </w:rPr>
        <w:t xml:space="preserve">Full Italian and EU citizenship; permanent; full work authorization; no income requirement; citizenship passes to children; voting rights.</w:t>
      </w:r>
    </w:p>
    <w:p>
      <w:pPr>
        <w:spacing w:after="120"/>
      </w:pPr>
      <w:r>
        <w:rPr>
          <w:rFonts w:ascii="Arial" w:cs="Arial" w:eastAsia="Arial" w:hAnsi="Arial"/>
          <w:b/>
          <w:bCs/>
          <w:sz w:val="22"/>
          <w:szCs w:val="22"/>
        </w:rPr>
        <w:t xml:space="preserve">Limitations: </w:t>
      </w:r>
      <w:r>
        <w:rPr>
          <w:rFonts w:ascii="Arial" w:cs="Arial" w:eastAsia="Arial" w:hAnsi="Arial"/>
          <w:sz w:val="22"/>
          <w:szCs w:val="22"/>
        </w:rPr>
        <w:t xml:space="preserve">Longest timeline (2–10+ years); highest complexity; comune records take 6–24 months; consulate queue 5–10+ years; separate visa needed if residing in Italy; highest attorney costs; 1948 rule may complicate certain lineages.</w:t>
      </w:r>
    </w:p>
    <w:p>
      <w:pPr>
        <w:pStyle w:val="Heading2"/>
      </w:pPr>
      <w:r>
        <w:t xml:space="preserve">Common Mistakes</w:t>
      </w:r>
    </w:p>
    <w:p>
      <w:pPr>
        <w:spacing w:after="120"/>
      </w:pPr>
      <w:r>
        <w:rPr>
          <w:rFonts w:ascii="Arial" w:cs="Arial" w:eastAsia="Arial" w:hAnsi="Arial"/>
          <w:sz w:val="22"/>
          <w:szCs w:val="22"/>
        </w:rPr>
        <w:t xml:space="preserve">• Not consulting a specialist attorney early
• Delaying the Italian comune records request
• Assuming naturalization dates without proof
• Overlooking the 1948 rule
• Underestimating financial commitment if residing in Italy</w:t>
      </w:r>
    </w:p>
    <w:p>
      <w:r>
        <w:br w:type="page"/>
      </w:r>
    </w:p>
    <w:p>
      <w:pPr>
        <w:pStyle w:val="Heading1"/>
      </w:pPr>
      <w:r>
        <w:t xml:space="preserve">Student Visa</w:t>
      </w:r>
    </w:p>
    <w:p>
      <w:pPr>
        <w:spacing w:after="120"/>
      </w:pPr>
      <w:r>
        <w:rPr>
          <w:rFonts w:ascii="Arial" w:cs="Arial" w:eastAsia="Arial" w:hAnsi="Arial"/>
          <w:sz w:val="22"/>
          <w:szCs w:val="22"/>
        </w:rPr>
        <w:t xml:space="preserve">For those pursuing structured study at an Italian institution</w:t>
      </w:r>
    </w:p>
    <w:p>
      <w:pPr>
        <w:pStyle w:val="Heading2"/>
      </w:pPr>
      <w:r>
        <w:t xml:space="preserve">Overview</w:t>
      </w:r>
    </w:p>
    <w:p>
      <w:pPr>
        <w:spacing w:after="120"/>
      </w:pPr>
      <w:r>
        <w:rPr>
          <w:rFonts w:ascii="Arial" w:cs="Arial" w:eastAsia="Arial" w:hAnsi="Arial"/>
          <w:sz w:val="22"/>
          <w:szCs w:val="22"/>
        </w:rPr>
        <w:t xml:space="preserve">The Italian Student Visa allows you to reside in Italy for study — university programs, language schools, or other recognized institutions. It has the clearest documentation sequence of any route.</w:t>
      </w:r>
    </w:p>
    <w:p>
      <w:pPr>
        <w:spacing w:after="120"/>
      </w:pPr>
      <w:r>
        <w:rPr>
          <w:rFonts w:ascii="Arial" w:cs="Arial" w:eastAsia="Arial" w:hAnsi="Arial"/>
          <w:sz w:val="22"/>
          <w:szCs w:val="22"/>
        </w:rPr>
        <w:t xml:space="preserve">The Student Visa does not require ongoing income. What you need is proof of sufficient funds for tuition and living expenses. The visa is tied to enrollment status — plan your post-program transition early.</w:t>
      </w:r>
    </w:p>
    <w:p>
      <w:pPr>
        <w:pStyle w:val="Heading2"/>
      </w:pPr>
      <w:r>
        <w:t xml:space="preserve">Eligibility &amp; Requirements</w:t>
      </w:r>
    </w:p>
    <w:p>
      <w:pPr>
        <w:pStyle w:val="Heading3"/>
      </w:pPr>
      <w:r>
        <w:t xml:space="preserve">Financial Requirements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6160"/>
      </w:tblGrid>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Living costs (per year)</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~€6,000–€8,000 (varies by city)</w:t>
            </w:r>
          </w:p>
        </w:tc>
      </w:tr>
      <w:tr>
        <w:tc>
          <w:tcPr>
            <w:tcW w:type="dxa" w:w="32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sz w:val="20"/>
                <w:szCs w:val="20"/>
              </w:rPr>
              <w:t xml:space="preserve">Tuition</w:t>
            </w:r>
          </w:p>
        </w:tc>
        <w:tc>
          <w:tcPr>
            <w:tcW w:type="dxa" w:w="61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20"/>
                <w:szCs w:val="20"/>
              </w:rPr>
              <w:t xml:space="preserve">Varies by institution and program</w:t>
            </w:r>
          </w:p>
        </w:tc>
      </w:tr>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Proof of funds format</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Bank statements, sponsor letter, scholarship, or combination</w:t>
            </w:r>
          </w:p>
        </w:tc>
      </w:tr>
    </w:tbl>
    <w:p>
      <w:pPr>
        <w:pStyle w:val="Heading3"/>
      </w:pPr>
      <w:r>
        <w:t xml:space="preserve">Required Documents</w:t>
      </w:r>
    </w:p>
    <w:p>
      <w:pPr>
        <w:spacing w:after="120"/>
      </w:pPr>
      <w:r>
        <w:rPr>
          <w:rFonts w:ascii="Arial" w:cs="Arial" w:eastAsia="Arial" w:hAnsi="Arial"/>
          <w:sz w:val="22"/>
          <w:szCs w:val="22"/>
        </w:rPr>
        <w:t xml:space="preserve">• Official acceptance/enrollment letter from MIUR-recognized institution (MIUR — Italian Ministry of Education)
• Valid U.S. passport
• Proof of financial means
• Proof of Italian accommodation
• Qualifying health insurance
• Codice Fiscale (Italian tax ID number)
• Completed student visa application form</w:t>
      </w:r>
    </w:p>
    <w:p>
      <w:pPr>
        <w:pStyle w:val="Heading2"/>
      </w:pPr>
      <w:r>
        <w:t xml:space="preserve">Application Process</w:t>
      </w:r>
    </w:p>
    <w:p>
      <w:pPr>
        <w:spacing w:after="120"/>
      </w:pPr>
      <w:r>
        <w:rPr>
          <w:rFonts w:ascii="Arial" w:cs="Arial" w:eastAsia="Arial" w:hAnsi="Arial"/>
          <w:sz w:val="22"/>
          <w:szCs w:val="22"/>
        </w:rPr>
        <w:t xml:space="preserve">1. Select program and institution — confirm MIUR recognition (Phase 2, 2–8 weeks)
2. Secure enrollment letter (critical path)
3. Document financial means (1–2 weeks)
4. Arrange accommodation and insurance (2–4 weeks)
5. Book consulate appointment and submit
6. Await visa decision (2–3 weeks)</w:t>
      </w:r>
    </w:p>
    <w:p>
      <w:pPr>
        <w:pStyle w:val="Heading2"/>
      </w:pPr>
      <w:r>
        <w:t xml:space="preserve">Post-Arrival Steps</w:t>
      </w:r>
    </w:p>
    <w:p>
      <w:pPr>
        <w:spacing w:after="120"/>
      </w:pPr>
      <w:r>
        <w:rPr>
          <w:rFonts w:ascii="Arial" w:cs="Arial" w:eastAsia="Arial" w:hAnsi="Arial"/>
          <w:sz w:val="22"/>
          <w:szCs w:val="22"/>
        </w:rPr>
        <w:t xml:space="preserve">• Register residency at the Comune (municipal city hall) within 8 days
• Apply for Permesso di Soggiorno (residence permit) within 8 days
• Complete university enrollment
• Maintain private health insurance
• Open an Italian bank account
• Plan post-program status transition during Phase 6</w:t>
      </w:r>
    </w:p>
    <w:p>
      <w:pPr>
        <w:pStyle w:val="Heading2"/>
      </w:pPr>
      <w:r>
        <w:t xml:space="preserve">Renewal &amp; Long-Term Path</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6160"/>
      </w:tblGrid>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Initial permit</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1 academic year</w:t>
            </w:r>
          </w:p>
        </w:tc>
      </w:tr>
      <w:tr>
        <w:tc>
          <w:tcPr>
            <w:tcW w:type="dxa" w:w="32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sz w:val="20"/>
                <w:szCs w:val="20"/>
              </w:rPr>
              <w:t xml:space="preserve">Renewal</w:t>
            </w:r>
          </w:p>
        </w:tc>
        <w:tc>
          <w:tcPr>
            <w:tcW w:type="dxa" w:w="61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20"/>
                <w:szCs w:val="20"/>
              </w:rPr>
              <w:t xml:space="preserve">With continued enrollment</w:t>
            </w:r>
          </w:p>
        </w:tc>
      </w:tr>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Permanent residency</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After 5 years (may require status change)</w:t>
            </w:r>
          </w:p>
        </w:tc>
      </w:tr>
      <w:tr>
        <w:tc>
          <w:tcPr>
            <w:tcW w:type="dxa" w:w="32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sz w:val="20"/>
                <w:szCs w:val="20"/>
              </w:rPr>
              <w:t xml:space="preserve">Italian citizenship</w:t>
            </w:r>
          </w:p>
        </w:tc>
        <w:tc>
          <w:tcPr>
            <w:tcW w:type="dxa" w:w="61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20"/>
                <w:szCs w:val="20"/>
              </w:rPr>
              <w:t xml:space="preserve">After 10 years</w:t>
            </w:r>
          </w:p>
        </w:tc>
      </w:tr>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Post-program</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Must change to another visa type to remain</w:t>
            </w:r>
          </w:p>
        </w:tc>
      </w:tr>
    </w:tbl>
    <w:p>
      <w:pPr>
        <w:pStyle w:val="Heading2"/>
      </w:pPr>
      <w:r>
        <w:t xml:space="preserve">Work Authorization</w:t>
      </w:r>
    </w:p>
    <w:p>
      <w:pPr>
        <w:spacing w:after="120"/>
      </w:pPr>
      <w:r>
        <w:rPr>
          <w:rFonts w:ascii="Arial" w:cs="Arial" w:eastAsia="Arial" w:hAnsi="Arial"/>
          <w:sz w:val="22"/>
          <w:szCs w:val="22"/>
        </w:rPr>
        <w:t xml:space="preserve">Limited part-time work sometimes permitted (typically ~20 hours/week). Confirm with your consulate. Do not rely on employment income to fund your stay.</w:t>
      </w:r>
    </w:p>
    <w:p>
      <w:pPr>
        <w:pStyle w:val="Heading2"/>
      </w:pPr>
      <w:r>
        <w:t xml:space="preserve">Pros &amp; Cons</w:t>
      </w:r>
    </w:p>
    <w:p>
      <w:pPr>
        <w:spacing w:after="120"/>
      </w:pPr>
      <w:r>
        <w:rPr>
          <w:rFonts w:ascii="Arial" w:cs="Arial" w:eastAsia="Arial" w:hAnsi="Arial"/>
          <w:b/>
          <w:bCs/>
          <w:sz w:val="22"/>
          <w:szCs w:val="22"/>
        </w:rPr>
        <w:t xml:space="preserve">Advantages: </w:t>
      </w:r>
      <w:r>
        <w:rPr>
          <w:rFonts w:ascii="Arial" w:cs="Arial" w:eastAsia="Arial" w:hAnsi="Arial"/>
          <w:sz w:val="22"/>
          <w:szCs w:val="22"/>
        </w:rPr>
        <w:t xml:space="preserve">Shortest, most predictable timeline; lowest complexity; no ongoing income required; structured social integration; natural gateway to other visa types.</w:t>
      </w:r>
    </w:p>
    <w:p>
      <w:pPr>
        <w:spacing w:after="120"/>
      </w:pPr>
      <w:r>
        <w:rPr>
          <w:rFonts w:ascii="Arial" w:cs="Arial" w:eastAsia="Arial" w:hAnsi="Arial"/>
          <w:b/>
          <w:bCs/>
          <w:sz w:val="22"/>
          <w:szCs w:val="22"/>
        </w:rPr>
        <w:t xml:space="preserve">Limitations: </w:t>
      </w:r>
      <w:r>
        <w:rPr>
          <w:rFonts w:ascii="Arial" w:cs="Arial" w:eastAsia="Arial" w:hAnsi="Arial"/>
          <w:sz w:val="22"/>
          <w:szCs w:val="22"/>
        </w:rPr>
        <w:t xml:space="preserve">Tied to enrollment; limited work authorization; must plan post-program transition; private insurance required; tuition adds to costs; institution must be MIUR-recognized.</w:t>
      </w:r>
    </w:p>
    <w:p>
      <w:pPr>
        <w:pStyle w:val="Heading2"/>
      </w:pPr>
      <w:r>
        <w:t xml:space="preserve">Common Mistakes</w:t>
      </w:r>
    </w:p>
    <w:p>
      <w:pPr>
        <w:spacing w:after="120"/>
      </w:pPr>
      <w:r>
        <w:rPr>
          <w:rFonts w:ascii="Arial" w:cs="Arial" w:eastAsia="Arial" w:hAnsi="Arial"/>
          <w:sz w:val="22"/>
          <w:szCs w:val="22"/>
        </w:rPr>
        <w:t xml:space="preserve">• Not confirming MIUR recognition of institution
• Waiting for enrollment before booking consulate appointment
• Confusing savings with income (savings are sufficient)
• Not planning the post-program transition
• Skipping health insurance</w:t>
      </w:r>
    </w:p>
    <w:p>
      <w:r>
        <w:br w:type="page"/>
      </w:r>
    </w:p>
    <w:p>
      <w:pPr>
        <w:pStyle w:val="Heading1"/>
      </w:pPr>
      <w:r>
        <w:t xml:space="preserve">Family Reunification</w:t>
      </w:r>
    </w:p>
    <w:p>
      <w:pPr>
        <w:spacing w:after="120"/>
      </w:pPr>
      <w:r>
        <w:rPr>
          <w:rFonts w:ascii="Arial" w:cs="Arial" w:eastAsia="Arial" w:hAnsi="Arial"/>
          <w:sz w:val="22"/>
          <w:szCs w:val="22"/>
        </w:rPr>
        <w:t xml:space="preserve">For those joining a spouse, parent, or other qualifying family member in Italy</w:t>
      </w:r>
    </w:p>
    <w:p>
      <w:pPr>
        <w:pStyle w:val="Heading2"/>
      </w:pPr>
      <w:r>
        <w:t xml:space="preserve">Overview</w:t>
      </w:r>
    </w:p>
    <w:p>
      <w:pPr>
        <w:spacing w:after="120"/>
      </w:pPr>
      <w:r>
        <w:rPr>
          <w:rFonts w:ascii="Arial" w:cs="Arial" w:eastAsia="Arial" w:hAnsi="Arial"/>
          <w:sz w:val="22"/>
          <w:szCs w:val="22"/>
        </w:rPr>
        <w:t xml:space="preserve">The Family Reunification pathway allows you to join a close family member who is an Italian citizen or legal resident. This process is initiated from the Italian side by your sponsoring family member.</w:t>
      </w:r>
    </w:p>
    <w:p>
      <w:pPr>
        <w:spacing w:after="120"/>
      </w:pPr>
      <w:r>
        <w:rPr>
          <w:rFonts w:ascii="Arial" w:cs="Arial" w:eastAsia="Arial" w:hAnsi="Arial"/>
          <w:sz w:val="22"/>
          <w:szCs w:val="22"/>
        </w:rPr>
        <w:t xml:space="preserve">Your sponsor files for a nulla osta (authorization) from the Italian prefettura (prefecture — provincial government office), while you prepare documentation on the U.S. side. The financial requirement falls primarily on your sponsor.</w:t>
      </w:r>
    </w:p>
    <w:p>
      <w:pPr>
        <w:pStyle w:val="Heading2"/>
      </w:pPr>
      <w:r>
        <w:t xml:space="preserve">Eligibility &amp; Requirements</w:t>
      </w:r>
    </w:p>
    <w:p>
      <w:pPr>
        <w:pStyle w:val="Heading3"/>
      </w:pPr>
      <w:r>
        <w:t xml:space="preserve">Qualifying Relationships</w:t>
      </w:r>
    </w:p>
    <w:p>
      <w:pPr>
        <w:spacing w:after="120"/>
      </w:pPr>
      <w:r>
        <w:rPr>
          <w:rFonts w:ascii="Arial" w:cs="Arial" w:eastAsia="Arial" w:hAnsi="Arial"/>
          <w:sz w:val="22"/>
          <w:szCs w:val="22"/>
        </w:rPr>
        <w:t xml:space="preserve">• Spouse or registered partner
• Minor children (under 18)
• Adult dependent children (specific circumstances)
• Dependent parents (specific circumstances)</w:t>
      </w:r>
    </w:p>
    <w:p>
      <w:pPr>
        <w:pStyle w:val="Heading3"/>
      </w:pPr>
      <w:r>
        <w:t xml:space="preserve">Sponsor’s Financial Requirements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6160"/>
      </w:tblGrid>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Sponsor minimum annual income</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~€8,500–€11,000 / yr (varies)</w:t>
            </w:r>
          </w:p>
        </w:tc>
      </w:tr>
      <w:tr>
        <w:tc>
          <w:tcPr>
            <w:tcW w:type="dxa" w:w="32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sz w:val="20"/>
                <w:szCs w:val="20"/>
              </w:rPr>
              <w:t xml:space="preserve">Per additional family member</w:t>
            </w:r>
          </w:p>
        </w:tc>
        <w:tc>
          <w:tcPr>
            <w:tcW w:type="dxa" w:w="61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20"/>
                <w:szCs w:val="20"/>
              </w:rPr>
              <w:t xml:space="preserve">+~€2,800 / yr</w:t>
            </w:r>
          </w:p>
        </w:tc>
      </w:tr>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Housing requirement</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Adequate housing meeting minimum size/habitability standards</w:t>
            </w:r>
          </w:p>
        </w:tc>
      </w:tr>
    </w:tbl>
    <w:p>
      <w:pPr>
        <w:pStyle w:val="Heading3"/>
      </w:pPr>
      <w:r>
        <w:t xml:space="preserve">Your Required Documents</w:t>
      </w:r>
    </w:p>
    <w:p>
      <w:pPr>
        <w:spacing w:after="120"/>
      </w:pPr>
      <w:r>
        <w:rPr>
          <w:rFonts w:ascii="Arial" w:cs="Arial" w:eastAsia="Arial" w:hAnsi="Arial"/>
          <w:sz w:val="22"/>
          <w:szCs w:val="22"/>
        </w:rPr>
        <w:t xml:space="preserve">• Valid U.S. passport
• Proof of qualifying family relationship
• Personal vital records with Italian translation and apostille
• Codice Fiscale (Italian tax ID number)
• Completed visa application form</w:t>
      </w:r>
    </w:p>
    <w:p>
      <w:pPr>
        <w:pStyle w:val="Heading2"/>
      </w:pPr>
      <w:r>
        <w:t xml:space="preserve">Application Process</w:t>
      </w:r>
    </w:p>
    <w:p>
      <w:pPr>
        <w:spacing w:after="120"/>
      </w:pPr>
      <w:r>
        <w:rPr>
          <w:rFonts w:ascii="Arial" w:cs="Arial" w:eastAsia="Arial" w:hAnsi="Arial"/>
          <w:sz w:val="22"/>
          <w:szCs w:val="22"/>
        </w:rPr>
        <w:t xml:space="preserve">1. Confirm eligibility and coordinate with sponsor (Phase 2, 1–2 weeks)
2. Sponsor files nulla osta (authorization) at Italian prefettura (prefecture) — critical path, 3–6 months
3. Prepare personal documentation in parallel (3–6 weeks)
4. Confirm sponsor’s housing and income documentation
5. Nulla osta granted — file at U.S. consulate
6. Attend consulate appointment; await decision (1–2 weeks)</w:t>
      </w:r>
    </w:p>
    <w:p>
      <w:pPr>
        <w:pStyle w:val="Heading2"/>
      </w:pPr>
      <w:r>
        <w:t xml:space="preserve">Post-Arrival Steps</w:t>
      </w:r>
    </w:p>
    <w:p>
      <w:pPr>
        <w:spacing w:after="120"/>
      </w:pPr>
      <w:r>
        <w:rPr>
          <w:rFonts w:ascii="Arial" w:cs="Arial" w:eastAsia="Arial" w:hAnsi="Arial"/>
          <w:sz w:val="22"/>
          <w:szCs w:val="22"/>
        </w:rPr>
        <w:t xml:space="preserve">• Register residency at the Comune (municipal city hall) within 8 days
• Apply for Permesso di Soggiorno (residence permit) within 8 days
• Enroll in the SSN (Servizio Sanitario Nazionale — National Health Service). Confirm at your local ASL (local health authority) office.
• Open an Italian bank account — Codice Fiscale (Italian tax ID) and permesso receipt required
• Establish independent life infrastructure</w:t>
      </w:r>
    </w:p>
    <w:p>
      <w:pPr>
        <w:pStyle w:val="Heading2"/>
      </w:pPr>
      <w:r>
        <w:t xml:space="preserve">Renewal &amp; Long-Term Path</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6160"/>
      </w:tblGrid>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Initial permit</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2 years</w:t>
            </w:r>
          </w:p>
        </w:tc>
      </w:tr>
      <w:tr>
        <w:tc>
          <w:tcPr>
            <w:tcW w:type="dxa" w:w="32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sz w:val="20"/>
                <w:szCs w:val="20"/>
              </w:rPr>
              <w:t xml:space="preserve">Renewal</w:t>
            </w:r>
          </w:p>
        </w:tc>
        <w:tc>
          <w:tcPr>
            <w:tcW w:type="dxa" w:w="61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20"/>
                <w:szCs w:val="20"/>
              </w:rPr>
              <w:t xml:space="preserve">Must maintain qualifying conditions</w:t>
            </w:r>
          </w:p>
        </w:tc>
      </w:tr>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Permanent residency</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After 5 years</w:t>
            </w:r>
          </w:p>
        </w:tc>
      </w:tr>
      <w:tr>
        <w:tc>
          <w:tcPr>
            <w:tcW w:type="dxa" w:w="320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b/>
                <w:bCs/>
                <w:sz w:val="20"/>
                <w:szCs w:val="20"/>
              </w:rPr>
              <w:t xml:space="preserve">Italian citizenship</w:t>
            </w:r>
          </w:p>
        </w:tc>
        <w:tc>
          <w:tcPr>
            <w:tcW w:type="dxa" w:w="6160"/>
            <w:tcBorders>
              <w:top w:val="single" w:color="CCCCCC" w:sz="1"/>
              <w:left w:val="single" w:color="CCCCCC" w:sz="1"/>
              <w:bottom w:val="single" w:color="CCCCCC" w:sz="1"/>
              <w:right w:val="single" w:color="CCCCCC" w:sz="1"/>
            </w:tcBorders>
            <w:shd w:fill="FAFAF7" w:val="clear"/>
            <w:tcMar>
              <w:top w:type="dxa" w:w="60"/>
              <w:left w:type="dxa" w:w="100"/>
              <w:bottom w:type="dxa" w:w="60"/>
              <w:right w:type="dxa" w:w="100"/>
            </w:tcMar>
          </w:tcPr>
          <w:p>
            <w:r>
              <w:rPr>
                <w:rFonts w:ascii="Arial" w:cs="Arial" w:eastAsia="Arial" w:hAnsi="Arial"/>
                <w:sz w:val="20"/>
                <w:szCs w:val="20"/>
              </w:rPr>
              <w:t xml:space="preserve">5 years if spouse of Italian citizen; 10 years otherwise</w:t>
            </w:r>
          </w:p>
        </w:tc>
      </w:tr>
      <w:tr>
        <w:tc>
          <w:tcPr>
            <w:tcW w:type="dxa" w:w="320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b/>
                <w:bCs/>
                <w:sz w:val="20"/>
                <w:szCs w:val="20"/>
              </w:rPr>
              <w:t xml:space="preserve">EU rights</w:t>
            </w:r>
          </w:p>
        </w:tc>
        <w:tc>
          <w:tcPr>
            <w:tcW w:type="dxa" w:w="6160"/>
            <w:tcBorders>
              <w:top w:val="single" w:color="CCCCCC" w:sz="1"/>
              <w:left w:val="single" w:color="CCCCCC" w:sz="1"/>
              <w:bottom w:val="single" w:color="CCCCCC" w:sz="1"/>
              <w:right w:val="single" w:color="CCCCCC" w:sz="1"/>
            </w:tcBorders>
            <w:shd w:fill="EFEBE4" w:val="clear"/>
            <w:tcMar>
              <w:top w:type="dxa" w:w="60"/>
              <w:left w:type="dxa" w:w="100"/>
              <w:bottom w:type="dxa" w:w="60"/>
              <w:right w:type="dxa" w:w="100"/>
            </w:tcMar>
          </w:tcPr>
          <w:p>
            <w:r>
              <w:rPr>
                <w:rFonts w:ascii="Arial" w:cs="Arial" w:eastAsia="Arial" w:hAnsi="Arial"/>
                <w:sz w:val="20"/>
                <w:szCs w:val="20"/>
              </w:rPr>
              <w:t xml:space="preserve">Residency only until citizenship</w:t>
            </w:r>
          </w:p>
        </w:tc>
      </w:tr>
    </w:tbl>
    <w:p>
      <w:pPr>
        <w:pStyle w:val="Heading2"/>
      </w:pPr>
      <w:r>
        <w:t xml:space="preserve">Work Authorization</w:t>
      </w:r>
    </w:p>
    <w:p>
      <w:pPr>
        <w:spacing w:after="120"/>
      </w:pPr>
      <w:r>
        <w:rPr>
          <w:rFonts w:ascii="Arial" w:cs="Arial" w:eastAsia="Arial" w:hAnsi="Arial"/>
          <w:sz w:val="22"/>
          <w:szCs w:val="22"/>
        </w:rPr>
        <w:t xml:space="preserve">Depends on sponsor’s status and your permit type. Family reunification permits often grant broader work rights than ERV or Nomad visas. Confirm with the questura (police headquarters) when you receive your permesso di soggiorno (residence permit).</w:t>
      </w:r>
    </w:p>
    <w:p>
      <w:pPr>
        <w:pStyle w:val="Heading2"/>
      </w:pPr>
      <w:r>
        <w:t xml:space="preserve">Pros &amp; Cons</w:t>
      </w:r>
    </w:p>
    <w:p>
      <w:pPr>
        <w:spacing w:after="120"/>
      </w:pPr>
      <w:r>
        <w:rPr>
          <w:rFonts w:ascii="Arial" w:cs="Arial" w:eastAsia="Arial" w:hAnsi="Arial"/>
          <w:b/>
          <w:bCs/>
          <w:sz w:val="22"/>
          <w:szCs w:val="22"/>
        </w:rPr>
        <w:t xml:space="preserve">Advantages: </w:t>
      </w:r>
      <w:r>
        <w:rPr>
          <w:rFonts w:ascii="Arial" w:cs="Arial" w:eastAsia="Arial" w:hAnsi="Arial"/>
          <w:sz w:val="22"/>
          <w:szCs w:val="22"/>
        </w:rPr>
        <w:t xml:space="preserve">Financial burden on sponsor; longest initial permit (2 years); faster citizenship for spouses (5 years); potentially broader work authorization; built-in support system; SSN (National Health Service) access.</w:t>
      </w:r>
    </w:p>
    <w:p>
      <w:pPr>
        <w:spacing w:after="120"/>
      </w:pPr>
      <w:r>
        <w:rPr>
          <w:rFonts w:ascii="Arial" w:cs="Arial" w:eastAsia="Arial" w:hAnsi="Arial"/>
          <w:b/>
          <w:bCs/>
          <w:sz w:val="22"/>
          <w:szCs w:val="22"/>
        </w:rPr>
        <w:t xml:space="preserve">Limitations: </w:t>
      </w:r>
      <w:r>
        <w:rPr>
          <w:rFonts w:ascii="Arial" w:cs="Arial" w:eastAsia="Arial" w:hAnsi="Arial"/>
          <w:sz w:val="22"/>
          <w:szCs w:val="22"/>
        </w:rPr>
        <w:t xml:space="preserve">Requires qualifying family member in Italy; depends on sponsor’s cooperation; nulla osta processing (3–6 months) outside your control; sponsor must meet income/housing requirements; cross-border coordination complexity.</w:t>
      </w:r>
    </w:p>
    <w:p>
      <w:pPr>
        <w:pStyle w:val="Heading2"/>
      </w:pPr>
      <w:r>
        <w:t xml:space="preserve">Common Mistakes</w:t>
      </w:r>
    </w:p>
    <w:p>
      <w:pPr>
        <w:spacing w:after="120"/>
      </w:pPr>
      <w:r>
        <w:rPr>
          <w:rFonts w:ascii="Arial" w:cs="Arial" w:eastAsia="Arial" w:hAnsi="Arial"/>
          <w:sz w:val="22"/>
          <w:szCs w:val="22"/>
        </w:rPr>
        <w:t xml:space="preserve">• Not starting the nulla osta early enough
• Assuming your sponsor knows the process
• Neglecting the housing requirement
• Not having personal transition funds (3–6 months recommended)
• Skipping legal counsel on both sides ($1,000–$5,000)</w:t>
      </w:r>
    </w:p>
    <w:sectPr>
      <w:pgSz w:w="12240" w:h="15840" w:orient="portrait"/>
      <w:pgMar w:top="1200" w:right="1200" w:bottom="1200" w:left="12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1B3A5C"/>
      <w:sz w:val="36"/>
      <w:szCs w:val="36"/>
    </w:rPr>
  </w:style>
  <w:style w:type="paragraph" w:styleId="Heading2">
    <w:name w:val="Heading 2"/>
    <w:basedOn w:val="Normal"/>
    <w:next w:val="Normal"/>
    <w:qFormat/>
    <w:pPr>
      <w:spacing w:after="120" w:before="240"/>
      <w:outlineLvl w:val="1"/>
    </w:pPr>
    <w:rPr>
      <w:rFonts w:ascii="Arial" w:cs="Arial" w:eastAsia="Arial" w:hAnsi="Arial"/>
      <w:b/>
      <w:bCs/>
      <w:color w:val="1B3A5C"/>
      <w:sz w:val="28"/>
      <w:szCs w:val="28"/>
    </w:rPr>
  </w:style>
  <w:style w:type="paragraph" w:styleId="Heading3">
    <w:name w:val="Heading 3"/>
    <w:basedOn w:val="Normal"/>
    <w:next w:val="Normal"/>
    <w:qFormat/>
    <w:pPr>
      <w:spacing w:after="100" w:before="180"/>
      <w:outlineLvl w:val="2"/>
    </w:pPr>
    <w:rPr>
      <w:rFonts w:ascii="Arial" w:cs="Arial" w:eastAsia="Arial" w:hAnsi="Arial"/>
      <w:b/>
      <w:bCs/>
      <w:color w:val="333333"/>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2026-04-14T21:43:10.845Z</dcterms:created>
  <dcterms:modified xsi:type="dcterms:W3CDTF">2026-04-14T21:43:10.846Z</dcterms:modified>
</cp:coreProperties>
</file>

<file path=docProps/custom.xml><?xml version="1.0" encoding="utf-8"?>
<Properties xmlns="http://schemas.openxmlformats.org/officeDocument/2006/custom-properties" xmlns:vt="http://schemas.openxmlformats.org/officeDocument/2006/docPropsVTypes"/>
</file>